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C30A6" w14:textId="77777777" w:rsidR="00C96FCA" w:rsidRPr="00EE4A0B" w:rsidRDefault="00C96FCA" w:rsidP="00C96FCA">
      <w:pPr>
        <w:tabs>
          <w:tab w:val="left" w:pos="6436"/>
        </w:tabs>
        <w:spacing w:after="240"/>
        <w:jc w:val="center"/>
        <w:rPr>
          <w:rFonts w:cs="Arial"/>
          <w:b/>
          <w:bCs/>
          <w:sz w:val="28"/>
        </w:rPr>
      </w:pPr>
    </w:p>
    <w:p w14:paraId="0D331F35" w14:textId="77777777" w:rsidR="00C96FCA" w:rsidRPr="00BA6B33" w:rsidRDefault="00C96FCA" w:rsidP="00C96FCA">
      <w:pPr>
        <w:tabs>
          <w:tab w:val="left" w:pos="6436"/>
        </w:tabs>
        <w:spacing w:after="240"/>
        <w:jc w:val="center"/>
        <w:rPr>
          <w:rFonts w:cs="Arial"/>
          <w:b/>
          <w:bCs/>
          <w:sz w:val="28"/>
        </w:rPr>
      </w:pPr>
      <w:r>
        <w:rPr>
          <w:rFonts w:cs="Arial"/>
          <w:b/>
          <w:bCs/>
          <w:sz w:val="28"/>
        </w:rPr>
        <w:t>Appendix 3 - SaTH</w:t>
      </w:r>
      <w:r w:rsidRPr="00BA6B33">
        <w:rPr>
          <w:rFonts w:cs="Arial"/>
          <w:b/>
          <w:bCs/>
          <w:sz w:val="28"/>
        </w:rPr>
        <w:t xml:space="preserve"> Service Evaluation</w:t>
      </w:r>
      <w:r>
        <w:rPr>
          <w:rFonts w:cs="Arial"/>
          <w:b/>
          <w:bCs/>
          <w:sz w:val="28"/>
        </w:rPr>
        <w:t xml:space="preserve"> Final Report </w:t>
      </w:r>
    </w:p>
    <w:tbl>
      <w:tblPr>
        <w:tblStyle w:val="TableGrid"/>
        <w:tblW w:w="10031" w:type="dxa"/>
        <w:tblLook w:val="04A0" w:firstRow="1" w:lastRow="0" w:firstColumn="1" w:lastColumn="0" w:noHBand="0" w:noVBand="1"/>
      </w:tblPr>
      <w:tblGrid>
        <w:gridCol w:w="3726"/>
        <w:gridCol w:w="6305"/>
      </w:tblGrid>
      <w:tr w:rsidR="00C96FCA" w14:paraId="3F9090E3" w14:textId="77777777" w:rsidTr="00894F06">
        <w:trPr>
          <w:trHeight w:val="232"/>
        </w:trPr>
        <w:tc>
          <w:tcPr>
            <w:tcW w:w="10031" w:type="dxa"/>
            <w:gridSpan w:val="2"/>
            <w:vAlign w:val="center"/>
          </w:tcPr>
          <w:p w14:paraId="7D40F1FE" w14:textId="77777777" w:rsidR="00C96FCA" w:rsidRPr="00F6295F" w:rsidRDefault="00C96FCA" w:rsidP="00894F06">
            <w:pPr>
              <w:rPr>
                <w:rFonts w:cs="Arial"/>
                <w:sz w:val="22"/>
                <w:szCs w:val="22"/>
              </w:rPr>
            </w:pPr>
            <w:r w:rsidRPr="00F6295F">
              <w:rPr>
                <w:rFonts w:cs="Arial"/>
                <w:b/>
                <w:bCs/>
                <w:sz w:val="22"/>
                <w:szCs w:val="22"/>
              </w:rPr>
              <w:t>Project Title</w:t>
            </w:r>
          </w:p>
        </w:tc>
      </w:tr>
      <w:tr w:rsidR="00C96FCA" w14:paraId="56C766CF" w14:textId="77777777" w:rsidTr="00894F06">
        <w:trPr>
          <w:trHeight w:val="349"/>
        </w:trPr>
        <w:tc>
          <w:tcPr>
            <w:tcW w:w="10031" w:type="dxa"/>
            <w:gridSpan w:val="2"/>
            <w:vAlign w:val="center"/>
          </w:tcPr>
          <w:p w14:paraId="49FB6D76" w14:textId="77777777" w:rsidR="00421DD5" w:rsidRPr="00897CA5" w:rsidRDefault="00421DD5" w:rsidP="00421DD5">
            <w:pPr>
              <w:rPr>
                <w:rFonts w:cs="Arial"/>
                <w:sz w:val="22"/>
                <w:szCs w:val="22"/>
              </w:rPr>
            </w:pPr>
            <w:bookmarkStart w:id="0" w:name="_Hlk156566291"/>
            <w:r>
              <w:rPr>
                <w:rFonts w:cs="Arial"/>
                <w:sz w:val="22"/>
                <w:szCs w:val="22"/>
              </w:rPr>
              <w:t>Trial of lateral flow devices for COVID/Flu A+B ±RSV</w:t>
            </w:r>
          </w:p>
          <w:bookmarkEnd w:id="0"/>
          <w:p w14:paraId="0476A5E8" w14:textId="77777777" w:rsidR="00C96FCA" w:rsidRPr="00F6295F" w:rsidRDefault="00C96FCA" w:rsidP="00894F06">
            <w:pPr>
              <w:rPr>
                <w:rFonts w:cs="Arial"/>
                <w:sz w:val="22"/>
                <w:szCs w:val="22"/>
              </w:rPr>
            </w:pPr>
          </w:p>
        </w:tc>
      </w:tr>
      <w:tr w:rsidR="00C96FCA" w14:paraId="6C0FB21D" w14:textId="77777777" w:rsidTr="00894F06">
        <w:trPr>
          <w:trHeight w:val="349"/>
        </w:trPr>
        <w:tc>
          <w:tcPr>
            <w:tcW w:w="3726" w:type="dxa"/>
            <w:vAlign w:val="center"/>
          </w:tcPr>
          <w:p w14:paraId="3ABFEF83" w14:textId="77777777" w:rsidR="00C96FCA" w:rsidRPr="00F6295F" w:rsidRDefault="00C96FCA" w:rsidP="00894F06">
            <w:pPr>
              <w:rPr>
                <w:rFonts w:cs="Arial"/>
                <w:b/>
                <w:bCs/>
                <w:sz w:val="22"/>
                <w:szCs w:val="22"/>
              </w:rPr>
            </w:pPr>
            <w:r w:rsidRPr="00F6295F">
              <w:rPr>
                <w:rFonts w:cs="Arial"/>
                <w:b/>
                <w:bCs/>
                <w:sz w:val="22"/>
                <w:szCs w:val="22"/>
              </w:rPr>
              <w:t>Date of Report</w:t>
            </w:r>
          </w:p>
        </w:tc>
        <w:tc>
          <w:tcPr>
            <w:tcW w:w="6305" w:type="dxa"/>
            <w:vAlign w:val="center"/>
          </w:tcPr>
          <w:p w14:paraId="70544609" w14:textId="6120A4D2" w:rsidR="00C96FCA" w:rsidRPr="00421DD5" w:rsidRDefault="00CB2ABB" w:rsidP="00894F06">
            <w:pPr>
              <w:rPr>
                <w:rFonts w:cs="Arial"/>
              </w:rPr>
            </w:pPr>
            <w:r>
              <w:rPr>
                <w:rFonts w:cs="Arial"/>
              </w:rPr>
              <w:t>23/09/2024</w:t>
            </w:r>
          </w:p>
        </w:tc>
      </w:tr>
      <w:tr w:rsidR="00C96FCA" w14:paraId="0BA812D5" w14:textId="77777777" w:rsidTr="00894F06">
        <w:trPr>
          <w:trHeight w:val="349"/>
        </w:trPr>
        <w:tc>
          <w:tcPr>
            <w:tcW w:w="3726" w:type="dxa"/>
            <w:vAlign w:val="center"/>
          </w:tcPr>
          <w:p w14:paraId="313103A3" w14:textId="77777777" w:rsidR="00C96FCA" w:rsidRPr="00F6295F" w:rsidRDefault="00C96FCA" w:rsidP="00894F06">
            <w:pPr>
              <w:rPr>
                <w:rFonts w:cs="Arial"/>
                <w:b/>
                <w:bCs/>
                <w:sz w:val="22"/>
                <w:szCs w:val="22"/>
              </w:rPr>
            </w:pPr>
            <w:r w:rsidRPr="00F6295F">
              <w:rPr>
                <w:rFonts w:cs="Arial"/>
                <w:b/>
                <w:bCs/>
                <w:sz w:val="22"/>
                <w:szCs w:val="22"/>
              </w:rPr>
              <w:t>Your Name</w:t>
            </w:r>
          </w:p>
        </w:tc>
        <w:tc>
          <w:tcPr>
            <w:tcW w:w="6305" w:type="dxa"/>
            <w:vAlign w:val="center"/>
          </w:tcPr>
          <w:p w14:paraId="40655CDB" w14:textId="077ACDCC" w:rsidR="00C96FCA" w:rsidRPr="00421DD5" w:rsidRDefault="00421DD5" w:rsidP="00894F06">
            <w:pPr>
              <w:rPr>
                <w:rFonts w:cs="Arial"/>
                <w:sz w:val="22"/>
                <w:szCs w:val="22"/>
              </w:rPr>
            </w:pPr>
            <w:r w:rsidRPr="00421DD5">
              <w:rPr>
                <w:rFonts w:cs="Arial"/>
                <w:sz w:val="22"/>
                <w:szCs w:val="22"/>
              </w:rPr>
              <w:t>Rebecca Kerrigan</w:t>
            </w:r>
          </w:p>
        </w:tc>
      </w:tr>
      <w:tr w:rsidR="00C96FCA" w14:paraId="2AA0443A" w14:textId="77777777" w:rsidTr="00894F06">
        <w:trPr>
          <w:trHeight w:val="349"/>
        </w:trPr>
        <w:tc>
          <w:tcPr>
            <w:tcW w:w="3726" w:type="dxa"/>
            <w:vAlign w:val="center"/>
          </w:tcPr>
          <w:p w14:paraId="49E71D9D" w14:textId="77777777" w:rsidR="00C96FCA" w:rsidRPr="00F6295F" w:rsidRDefault="00C96FCA" w:rsidP="00894F06">
            <w:pPr>
              <w:rPr>
                <w:rFonts w:cs="Arial"/>
                <w:b/>
                <w:bCs/>
                <w:sz w:val="22"/>
                <w:szCs w:val="22"/>
              </w:rPr>
            </w:pPr>
            <w:r w:rsidRPr="00F6295F">
              <w:rPr>
                <w:rFonts w:cs="Arial"/>
                <w:b/>
                <w:bCs/>
                <w:sz w:val="22"/>
                <w:szCs w:val="22"/>
              </w:rPr>
              <w:t xml:space="preserve">Evaluator Lead </w:t>
            </w:r>
            <w:r w:rsidRPr="00F6295F">
              <w:rPr>
                <w:rFonts w:cs="Arial"/>
                <w:bCs/>
                <w:sz w:val="22"/>
                <w:szCs w:val="22"/>
              </w:rPr>
              <w:t>(if different)</w:t>
            </w:r>
          </w:p>
        </w:tc>
        <w:tc>
          <w:tcPr>
            <w:tcW w:w="6305" w:type="dxa"/>
            <w:vAlign w:val="center"/>
          </w:tcPr>
          <w:p w14:paraId="4267FEA1" w14:textId="77777777" w:rsidR="00C96FCA" w:rsidRPr="00421DD5" w:rsidRDefault="00C96FCA" w:rsidP="00894F06">
            <w:pPr>
              <w:rPr>
                <w:rFonts w:cs="Arial"/>
                <w:sz w:val="22"/>
                <w:szCs w:val="22"/>
              </w:rPr>
            </w:pPr>
          </w:p>
        </w:tc>
      </w:tr>
      <w:tr w:rsidR="00C96FCA" w14:paraId="7E4C67C8" w14:textId="77777777" w:rsidTr="00894F06">
        <w:trPr>
          <w:trHeight w:val="327"/>
        </w:trPr>
        <w:tc>
          <w:tcPr>
            <w:tcW w:w="3726" w:type="dxa"/>
            <w:vAlign w:val="center"/>
          </w:tcPr>
          <w:p w14:paraId="61662176" w14:textId="77777777" w:rsidR="00C96FCA" w:rsidRPr="00F6295F" w:rsidRDefault="00C96FCA" w:rsidP="00894F06">
            <w:pPr>
              <w:rPr>
                <w:rFonts w:cs="Arial"/>
                <w:b/>
                <w:bCs/>
                <w:sz w:val="22"/>
                <w:szCs w:val="22"/>
              </w:rPr>
            </w:pPr>
            <w:r w:rsidRPr="00F6295F">
              <w:rPr>
                <w:rFonts w:cs="Arial"/>
                <w:b/>
                <w:bCs/>
                <w:sz w:val="22"/>
                <w:szCs w:val="22"/>
              </w:rPr>
              <w:t>Job Title</w:t>
            </w:r>
          </w:p>
        </w:tc>
        <w:tc>
          <w:tcPr>
            <w:tcW w:w="6305" w:type="dxa"/>
            <w:vAlign w:val="center"/>
          </w:tcPr>
          <w:p w14:paraId="261E9525" w14:textId="7300DD4B" w:rsidR="00C96FCA" w:rsidRPr="00421DD5" w:rsidRDefault="00421DD5" w:rsidP="00894F06">
            <w:pPr>
              <w:rPr>
                <w:rFonts w:cs="Arial"/>
                <w:sz w:val="22"/>
                <w:szCs w:val="22"/>
              </w:rPr>
            </w:pPr>
            <w:r w:rsidRPr="00421DD5">
              <w:rPr>
                <w:rFonts w:cs="Arial"/>
                <w:sz w:val="22"/>
                <w:szCs w:val="22"/>
              </w:rPr>
              <w:t>Lead Biomedical Scientist</w:t>
            </w:r>
          </w:p>
        </w:tc>
      </w:tr>
      <w:tr w:rsidR="00C96FCA" w14:paraId="659B7859" w14:textId="77777777" w:rsidTr="00894F06">
        <w:trPr>
          <w:trHeight w:val="349"/>
        </w:trPr>
        <w:tc>
          <w:tcPr>
            <w:tcW w:w="3726" w:type="dxa"/>
            <w:vAlign w:val="center"/>
          </w:tcPr>
          <w:p w14:paraId="54365E76" w14:textId="77777777" w:rsidR="00C96FCA" w:rsidRPr="00F6295F" w:rsidRDefault="00C96FCA" w:rsidP="00894F06">
            <w:pPr>
              <w:rPr>
                <w:rFonts w:cs="Arial"/>
                <w:b/>
                <w:bCs/>
                <w:sz w:val="22"/>
                <w:szCs w:val="22"/>
              </w:rPr>
            </w:pPr>
            <w:r w:rsidRPr="00F6295F">
              <w:rPr>
                <w:rFonts w:cs="Arial"/>
                <w:b/>
                <w:bCs/>
                <w:sz w:val="22"/>
                <w:szCs w:val="22"/>
              </w:rPr>
              <w:t>Main Base/Place of Work</w:t>
            </w:r>
          </w:p>
        </w:tc>
        <w:tc>
          <w:tcPr>
            <w:tcW w:w="6305" w:type="dxa"/>
            <w:vAlign w:val="center"/>
          </w:tcPr>
          <w:p w14:paraId="44D2C9FB" w14:textId="41C8DB6B" w:rsidR="00C96FCA" w:rsidRPr="00421DD5" w:rsidRDefault="00CB2ABB" w:rsidP="00894F06">
            <w:pPr>
              <w:rPr>
                <w:rFonts w:cs="Arial"/>
                <w:sz w:val="22"/>
                <w:szCs w:val="22"/>
              </w:rPr>
            </w:pPr>
            <w:r>
              <w:rPr>
                <w:rFonts w:cs="Arial"/>
                <w:sz w:val="22"/>
                <w:szCs w:val="22"/>
              </w:rPr>
              <w:t>Royal Shrewsbury Hospital</w:t>
            </w:r>
          </w:p>
        </w:tc>
      </w:tr>
      <w:tr w:rsidR="00C96FCA" w14:paraId="2A71FDC9" w14:textId="77777777" w:rsidTr="00894F06">
        <w:trPr>
          <w:trHeight w:val="327"/>
        </w:trPr>
        <w:tc>
          <w:tcPr>
            <w:tcW w:w="3726" w:type="dxa"/>
            <w:vAlign w:val="center"/>
          </w:tcPr>
          <w:p w14:paraId="1864EA31" w14:textId="77777777" w:rsidR="00C96FCA" w:rsidRPr="00F6295F" w:rsidRDefault="00C96FCA" w:rsidP="00894F06">
            <w:pPr>
              <w:rPr>
                <w:rFonts w:cs="Arial"/>
                <w:b/>
                <w:bCs/>
                <w:sz w:val="22"/>
                <w:szCs w:val="22"/>
              </w:rPr>
            </w:pPr>
            <w:r w:rsidRPr="00F6295F">
              <w:rPr>
                <w:rFonts w:cs="Arial"/>
                <w:b/>
                <w:bCs/>
                <w:sz w:val="22"/>
                <w:szCs w:val="22"/>
              </w:rPr>
              <w:t xml:space="preserve">Division </w:t>
            </w:r>
            <w:r w:rsidRPr="00F6295F">
              <w:rPr>
                <w:rFonts w:cs="Arial"/>
                <w:bCs/>
                <w:sz w:val="22"/>
                <w:szCs w:val="22"/>
              </w:rPr>
              <w:t>(delete as appropriate)</w:t>
            </w:r>
          </w:p>
        </w:tc>
        <w:tc>
          <w:tcPr>
            <w:tcW w:w="6305" w:type="dxa"/>
            <w:vAlign w:val="center"/>
          </w:tcPr>
          <w:p w14:paraId="727916F1" w14:textId="15512C98" w:rsidR="00C96FCA" w:rsidRPr="00421DD5" w:rsidRDefault="00C96FCA" w:rsidP="00894F06">
            <w:pPr>
              <w:rPr>
                <w:rFonts w:cs="Arial"/>
                <w:sz w:val="22"/>
                <w:szCs w:val="22"/>
              </w:rPr>
            </w:pPr>
            <w:r w:rsidRPr="00421DD5">
              <w:rPr>
                <w:rFonts w:cs="Arial"/>
                <w:sz w:val="22"/>
                <w:szCs w:val="22"/>
              </w:rPr>
              <w:t>Clinical Support Services</w:t>
            </w:r>
          </w:p>
        </w:tc>
      </w:tr>
      <w:tr w:rsidR="00C96FCA" w14:paraId="0332A74F" w14:textId="77777777" w:rsidTr="00894F06">
        <w:trPr>
          <w:trHeight w:val="327"/>
        </w:trPr>
        <w:tc>
          <w:tcPr>
            <w:tcW w:w="3726" w:type="dxa"/>
            <w:vAlign w:val="center"/>
          </w:tcPr>
          <w:p w14:paraId="7221C096" w14:textId="77777777" w:rsidR="00C96FCA" w:rsidRPr="00F6295F" w:rsidRDefault="00C96FCA" w:rsidP="00894F06">
            <w:pPr>
              <w:rPr>
                <w:rFonts w:cs="Arial"/>
                <w:b/>
                <w:bCs/>
                <w:sz w:val="22"/>
                <w:szCs w:val="22"/>
              </w:rPr>
            </w:pPr>
            <w:r w:rsidRPr="00F6295F">
              <w:rPr>
                <w:rFonts w:cs="Arial"/>
                <w:b/>
                <w:bCs/>
                <w:sz w:val="22"/>
                <w:szCs w:val="22"/>
              </w:rPr>
              <w:t>Department / Team</w:t>
            </w:r>
          </w:p>
        </w:tc>
        <w:tc>
          <w:tcPr>
            <w:tcW w:w="6305" w:type="dxa"/>
            <w:vAlign w:val="center"/>
          </w:tcPr>
          <w:p w14:paraId="13E64004" w14:textId="457C10C8" w:rsidR="00C96FCA" w:rsidRPr="00421DD5" w:rsidRDefault="00421DD5" w:rsidP="00894F06">
            <w:pPr>
              <w:rPr>
                <w:rFonts w:cs="Arial"/>
                <w:sz w:val="22"/>
                <w:szCs w:val="22"/>
              </w:rPr>
            </w:pPr>
            <w:r w:rsidRPr="00421DD5">
              <w:rPr>
                <w:rFonts w:cs="Arial"/>
                <w:sz w:val="22"/>
                <w:szCs w:val="22"/>
              </w:rPr>
              <w:t>Microbiology</w:t>
            </w:r>
          </w:p>
        </w:tc>
      </w:tr>
      <w:tr w:rsidR="00C96FCA" w14:paraId="18A7B930" w14:textId="77777777" w:rsidTr="00894F06">
        <w:trPr>
          <w:trHeight w:val="836"/>
        </w:trPr>
        <w:tc>
          <w:tcPr>
            <w:tcW w:w="3726" w:type="dxa"/>
            <w:vAlign w:val="center"/>
          </w:tcPr>
          <w:p w14:paraId="49492A9C" w14:textId="77777777" w:rsidR="00C96FCA" w:rsidRPr="00F6295F" w:rsidRDefault="00C96FCA" w:rsidP="00894F06">
            <w:pPr>
              <w:rPr>
                <w:rFonts w:cs="Arial"/>
                <w:b/>
                <w:bCs/>
                <w:sz w:val="22"/>
                <w:szCs w:val="22"/>
              </w:rPr>
            </w:pPr>
            <w:r w:rsidRPr="00F6295F">
              <w:rPr>
                <w:rFonts w:cs="Arial"/>
                <w:b/>
                <w:bCs/>
                <w:sz w:val="22"/>
                <w:szCs w:val="22"/>
              </w:rPr>
              <w:t>Name, Job Title, and Email</w:t>
            </w:r>
          </w:p>
          <w:p w14:paraId="16F48342" w14:textId="77777777" w:rsidR="00C96FCA" w:rsidRPr="00F6295F" w:rsidRDefault="00C96FCA" w:rsidP="00894F06">
            <w:pPr>
              <w:rPr>
                <w:rFonts w:cs="Arial"/>
                <w:b/>
                <w:bCs/>
                <w:sz w:val="22"/>
                <w:szCs w:val="22"/>
              </w:rPr>
            </w:pPr>
            <w:r w:rsidRPr="00F6295F">
              <w:rPr>
                <w:rFonts w:cs="Arial"/>
                <w:b/>
                <w:bCs/>
                <w:sz w:val="22"/>
                <w:szCs w:val="22"/>
              </w:rPr>
              <w:t>of Line Manager</w:t>
            </w:r>
          </w:p>
        </w:tc>
        <w:tc>
          <w:tcPr>
            <w:tcW w:w="6305" w:type="dxa"/>
            <w:vAlign w:val="center"/>
          </w:tcPr>
          <w:p w14:paraId="2E14A21E" w14:textId="77777777" w:rsidR="00421DD5" w:rsidRPr="00421DD5" w:rsidRDefault="00421DD5" w:rsidP="00421DD5">
            <w:pPr>
              <w:rPr>
                <w:rFonts w:cs="Arial"/>
                <w:sz w:val="22"/>
                <w:szCs w:val="22"/>
              </w:rPr>
            </w:pPr>
            <w:r w:rsidRPr="00421DD5">
              <w:rPr>
                <w:rFonts w:cs="Arial"/>
                <w:sz w:val="22"/>
                <w:szCs w:val="22"/>
              </w:rPr>
              <w:t>Adrian Vreede, Pathology Centre Manager</w:t>
            </w:r>
          </w:p>
          <w:p w14:paraId="3D5C4AA0" w14:textId="689C3043" w:rsidR="00C96FCA" w:rsidRPr="00421DD5" w:rsidRDefault="00421DD5" w:rsidP="00421DD5">
            <w:pPr>
              <w:rPr>
                <w:rFonts w:cs="Arial"/>
                <w:sz w:val="22"/>
                <w:szCs w:val="22"/>
              </w:rPr>
            </w:pPr>
            <w:hyperlink r:id="rId5" w:history="1">
              <w:r w:rsidRPr="00421DD5">
                <w:rPr>
                  <w:rStyle w:val="Hyperlink"/>
                  <w:rFonts w:cs="Arial"/>
                  <w:sz w:val="22"/>
                  <w:szCs w:val="22"/>
                </w:rPr>
                <w:t>adrian.vreede@nhs.net</w:t>
              </w:r>
            </w:hyperlink>
          </w:p>
        </w:tc>
      </w:tr>
      <w:tr w:rsidR="00C96FCA" w14:paraId="3ADA6B38" w14:textId="77777777" w:rsidTr="00894F06">
        <w:trPr>
          <w:trHeight w:val="980"/>
        </w:trPr>
        <w:tc>
          <w:tcPr>
            <w:tcW w:w="3726" w:type="dxa"/>
            <w:vAlign w:val="center"/>
          </w:tcPr>
          <w:p w14:paraId="757830D7" w14:textId="77777777" w:rsidR="00C96FCA" w:rsidRPr="00F6295F" w:rsidRDefault="00C96FCA" w:rsidP="00894F06">
            <w:pPr>
              <w:rPr>
                <w:rFonts w:cs="Arial"/>
                <w:b/>
                <w:bCs/>
                <w:sz w:val="22"/>
                <w:szCs w:val="22"/>
              </w:rPr>
            </w:pPr>
            <w:r w:rsidRPr="00F6295F">
              <w:rPr>
                <w:rFonts w:cs="Arial"/>
                <w:b/>
                <w:bCs/>
                <w:sz w:val="22"/>
                <w:szCs w:val="22"/>
              </w:rPr>
              <w:t>Name, Job Title, and Email</w:t>
            </w:r>
          </w:p>
          <w:p w14:paraId="1EF6901C" w14:textId="77777777" w:rsidR="00C96FCA" w:rsidRPr="00F6295F" w:rsidRDefault="00C96FCA" w:rsidP="00894F06">
            <w:pPr>
              <w:rPr>
                <w:rFonts w:cs="Arial"/>
                <w:b/>
                <w:bCs/>
                <w:sz w:val="22"/>
                <w:szCs w:val="22"/>
              </w:rPr>
            </w:pPr>
            <w:r w:rsidRPr="00F6295F">
              <w:rPr>
                <w:rFonts w:cs="Arial"/>
                <w:b/>
                <w:bCs/>
                <w:sz w:val="22"/>
                <w:szCs w:val="22"/>
              </w:rPr>
              <w:t>of Service Manager</w:t>
            </w:r>
          </w:p>
        </w:tc>
        <w:tc>
          <w:tcPr>
            <w:tcW w:w="6305" w:type="dxa"/>
            <w:vAlign w:val="center"/>
          </w:tcPr>
          <w:p w14:paraId="73A802D2" w14:textId="77777777" w:rsidR="00421DD5" w:rsidRPr="00421DD5" w:rsidRDefault="00421DD5" w:rsidP="00421DD5">
            <w:pPr>
              <w:rPr>
                <w:rFonts w:cs="Arial"/>
                <w:sz w:val="22"/>
                <w:szCs w:val="22"/>
              </w:rPr>
            </w:pPr>
            <w:r w:rsidRPr="00421DD5">
              <w:rPr>
                <w:rFonts w:cs="Arial"/>
                <w:sz w:val="22"/>
                <w:szCs w:val="22"/>
              </w:rPr>
              <w:t>Rebecca Kerrigan, Lead Biomedical Scientist</w:t>
            </w:r>
          </w:p>
          <w:p w14:paraId="74033A24" w14:textId="0F811A11" w:rsidR="00C96FCA" w:rsidRPr="00421DD5" w:rsidRDefault="00421DD5" w:rsidP="00421DD5">
            <w:pPr>
              <w:rPr>
                <w:rFonts w:cs="Arial"/>
                <w:sz w:val="22"/>
                <w:szCs w:val="22"/>
              </w:rPr>
            </w:pPr>
            <w:hyperlink r:id="rId6" w:history="1">
              <w:r w:rsidRPr="00421DD5">
                <w:rPr>
                  <w:rStyle w:val="Hyperlink"/>
                  <w:rFonts w:cs="Arial"/>
                  <w:sz w:val="22"/>
                  <w:szCs w:val="22"/>
                </w:rPr>
                <w:t>rebecca.kerrigan@nhs.net</w:t>
              </w:r>
            </w:hyperlink>
          </w:p>
        </w:tc>
      </w:tr>
      <w:tr w:rsidR="00C96FCA" w14:paraId="3B1ED67A" w14:textId="77777777" w:rsidTr="00894F06">
        <w:trPr>
          <w:trHeight w:val="980"/>
        </w:trPr>
        <w:tc>
          <w:tcPr>
            <w:tcW w:w="3726" w:type="dxa"/>
            <w:vAlign w:val="center"/>
          </w:tcPr>
          <w:p w14:paraId="68500BCC" w14:textId="77777777" w:rsidR="00C96FCA" w:rsidRPr="00F6295F" w:rsidRDefault="00C96FCA" w:rsidP="00894F06">
            <w:pPr>
              <w:rPr>
                <w:rFonts w:cs="Arial"/>
                <w:b/>
                <w:bCs/>
                <w:sz w:val="22"/>
                <w:szCs w:val="22"/>
              </w:rPr>
            </w:pPr>
            <w:r w:rsidRPr="00F6295F">
              <w:rPr>
                <w:rFonts w:cs="Arial"/>
                <w:b/>
                <w:bCs/>
                <w:sz w:val="22"/>
                <w:szCs w:val="22"/>
              </w:rPr>
              <w:t xml:space="preserve">Name and Email of Supervisor / contact point with </w:t>
            </w:r>
            <w:r>
              <w:rPr>
                <w:rFonts w:cs="Arial"/>
                <w:b/>
                <w:bCs/>
                <w:sz w:val="22"/>
                <w:szCs w:val="22"/>
              </w:rPr>
              <w:t>SaTH</w:t>
            </w:r>
          </w:p>
          <w:p w14:paraId="61E183BF" w14:textId="77777777" w:rsidR="00C96FCA" w:rsidRPr="00F6295F" w:rsidRDefault="00C96FCA" w:rsidP="00894F06">
            <w:pPr>
              <w:rPr>
                <w:rFonts w:cs="Arial"/>
                <w:sz w:val="22"/>
                <w:szCs w:val="22"/>
              </w:rPr>
            </w:pPr>
            <w:r w:rsidRPr="00F6295F">
              <w:rPr>
                <w:rFonts w:cs="Arial"/>
                <w:bCs/>
                <w:sz w:val="22"/>
                <w:szCs w:val="22"/>
              </w:rPr>
              <w:t>(applicable only for students and external evaluators where no internal manager has been provided)</w:t>
            </w:r>
          </w:p>
        </w:tc>
        <w:tc>
          <w:tcPr>
            <w:tcW w:w="6305" w:type="dxa"/>
            <w:vAlign w:val="center"/>
          </w:tcPr>
          <w:p w14:paraId="23883325" w14:textId="3D17DF86" w:rsidR="00C96FCA" w:rsidRPr="00172052" w:rsidRDefault="00421DD5" w:rsidP="00894F06">
            <w:pPr>
              <w:rPr>
                <w:rFonts w:cs="Arial"/>
                <w:sz w:val="20"/>
              </w:rPr>
            </w:pPr>
            <w:r>
              <w:rPr>
                <w:rFonts w:cs="Arial"/>
                <w:sz w:val="20"/>
              </w:rPr>
              <w:t>N/A</w:t>
            </w:r>
          </w:p>
        </w:tc>
      </w:tr>
      <w:tr w:rsidR="00C96FCA" w14:paraId="05F8EE01" w14:textId="77777777" w:rsidTr="00894F06">
        <w:trPr>
          <w:trHeight w:val="504"/>
        </w:trPr>
        <w:tc>
          <w:tcPr>
            <w:tcW w:w="3726" w:type="dxa"/>
          </w:tcPr>
          <w:p w14:paraId="2916DD77" w14:textId="77777777" w:rsidR="00C96FCA" w:rsidRPr="00FD3874" w:rsidRDefault="00C96FCA" w:rsidP="00894F06">
            <w:pPr>
              <w:rPr>
                <w:rFonts w:cs="Arial"/>
                <w:b/>
                <w:bCs/>
                <w:sz w:val="22"/>
                <w:szCs w:val="22"/>
              </w:rPr>
            </w:pPr>
            <w:r>
              <w:rPr>
                <w:rFonts w:cs="Arial"/>
                <w:b/>
                <w:bCs/>
                <w:sz w:val="22"/>
                <w:szCs w:val="22"/>
              </w:rPr>
              <w:t>Date closed</w:t>
            </w:r>
          </w:p>
        </w:tc>
        <w:tc>
          <w:tcPr>
            <w:tcW w:w="6305" w:type="dxa"/>
            <w:vAlign w:val="center"/>
          </w:tcPr>
          <w:p w14:paraId="6D3ADB38" w14:textId="33056F97" w:rsidR="00C96FCA" w:rsidRPr="00CB2ABB" w:rsidRDefault="00CB2ABB" w:rsidP="00894F06">
            <w:pPr>
              <w:rPr>
                <w:rFonts w:cs="Arial"/>
                <w:sz w:val="22"/>
                <w:szCs w:val="22"/>
              </w:rPr>
            </w:pPr>
            <w:r>
              <w:rPr>
                <w:rFonts w:cs="Arial"/>
                <w:sz w:val="22"/>
                <w:szCs w:val="22"/>
              </w:rPr>
              <w:t>17</w:t>
            </w:r>
            <w:r w:rsidRPr="00CB2ABB">
              <w:rPr>
                <w:rFonts w:cs="Arial"/>
                <w:sz w:val="22"/>
                <w:szCs w:val="22"/>
                <w:vertAlign w:val="superscript"/>
              </w:rPr>
              <w:t>th</w:t>
            </w:r>
            <w:r>
              <w:rPr>
                <w:rFonts w:cs="Arial"/>
                <w:sz w:val="22"/>
                <w:szCs w:val="22"/>
              </w:rPr>
              <w:t xml:space="preserve"> May 2024</w:t>
            </w:r>
          </w:p>
        </w:tc>
      </w:tr>
      <w:tr w:rsidR="00C96FCA" w14:paraId="38EA9839" w14:textId="77777777" w:rsidTr="00894F06">
        <w:trPr>
          <w:trHeight w:val="504"/>
        </w:trPr>
        <w:tc>
          <w:tcPr>
            <w:tcW w:w="3726" w:type="dxa"/>
          </w:tcPr>
          <w:p w14:paraId="39CF5D2D" w14:textId="77777777" w:rsidR="00C96FCA" w:rsidRPr="00F6295F" w:rsidRDefault="00C96FCA" w:rsidP="00894F06">
            <w:pPr>
              <w:rPr>
                <w:rFonts w:cs="Arial"/>
                <w:b/>
                <w:bCs/>
                <w:sz w:val="22"/>
                <w:szCs w:val="22"/>
              </w:rPr>
            </w:pPr>
            <w:r w:rsidRPr="00FD3874">
              <w:rPr>
                <w:rFonts w:cs="Arial"/>
                <w:b/>
                <w:bCs/>
                <w:sz w:val="22"/>
                <w:szCs w:val="22"/>
              </w:rPr>
              <w:t>Meeting to be presented at</w:t>
            </w:r>
          </w:p>
        </w:tc>
        <w:tc>
          <w:tcPr>
            <w:tcW w:w="6305" w:type="dxa"/>
            <w:vAlign w:val="center"/>
          </w:tcPr>
          <w:p w14:paraId="633665C1" w14:textId="5AE4A745" w:rsidR="00C96FCA" w:rsidRPr="00CB2ABB" w:rsidRDefault="00CB2ABB" w:rsidP="00894F06">
            <w:pPr>
              <w:rPr>
                <w:rFonts w:cs="Arial"/>
                <w:sz w:val="22"/>
                <w:szCs w:val="22"/>
              </w:rPr>
            </w:pPr>
            <w:r w:rsidRPr="00CB2ABB">
              <w:rPr>
                <w:rFonts w:cs="Arial"/>
                <w:sz w:val="22"/>
                <w:szCs w:val="22"/>
              </w:rPr>
              <w:t>Pathology Governance and Assurance</w:t>
            </w:r>
          </w:p>
        </w:tc>
      </w:tr>
    </w:tbl>
    <w:p w14:paraId="1ADE86E5" w14:textId="77777777" w:rsidR="00C96FCA" w:rsidRDefault="00C96FCA" w:rsidP="00C96FCA"/>
    <w:p w14:paraId="65E9BDE8" w14:textId="77777777" w:rsidR="00C96FCA" w:rsidRDefault="00C96FCA" w:rsidP="00C96FCA">
      <w:pPr>
        <w:spacing w:after="120"/>
        <w:rPr>
          <w:rFonts w:cs="Arial"/>
          <w:b/>
          <w:u w:val="single"/>
        </w:rPr>
      </w:pPr>
      <w:r>
        <w:rPr>
          <w:rFonts w:cs="Arial"/>
          <w:b/>
          <w:u w:val="single"/>
        </w:rPr>
        <w:t>Executive Summary</w:t>
      </w:r>
    </w:p>
    <w:p w14:paraId="1DEAFC83" w14:textId="1A215AC6" w:rsidR="00CB2ABB" w:rsidRDefault="00CB2ABB" w:rsidP="00CB2ABB">
      <w:pPr>
        <w:spacing w:after="120"/>
        <w:rPr>
          <w:rFonts w:cs="Arial"/>
          <w:bCs/>
          <w:sz w:val="22"/>
          <w:szCs w:val="22"/>
        </w:rPr>
      </w:pPr>
      <w:r w:rsidRPr="00202E6E">
        <w:rPr>
          <w:rFonts w:cs="Arial"/>
          <w:bCs/>
          <w:sz w:val="22"/>
          <w:szCs w:val="22"/>
        </w:rPr>
        <w:t xml:space="preserve">We </w:t>
      </w:r>
      <w:r>
        <w:rPr>
          <w:rFonts w:cs="Arial"/>
          <w:bCs/>
          <w:sz w:val="22"/>
          <w:szCs w:val="22"/>
        </w:rPr>
        <w:t xml:space="preserve">attempted to </w:t>
      </w:r>
      <w:r w:rsidRPr="00202E6E">
        <w:rPr>
          <w:rFonts w:cs="Arial"/>
          <w:bCs/>
          <w:sz w:val="22"/>
          <w:szCs w:val="22"/>
        </w:rPr>
        <w:t>evaluate the use of dual/triple lateral flow devices to screen patients for winter viruses (COVID, Flu A and B, RSV).</w:t>
      </w:r>
      <w:r>
        <w:rPr>
          <w:rFonts w:cs="Arial"/>
          <w:bCs/>
          <w:sz w:val="22"/>
          <w:szCs w:val="22"/>
        </w:rPr>
        <w:t xml:space="preserve"> Lateral flow kits were sent to Ward 17 at Princess Royal Hospital and Ward 24 at Royal Shrewsbury Hospital. Instructions were given to staff on how to take the samples and complete the paperwork, and how to return samples and paperwork.</w:t>
      </w:r>
    </w:p>
    <w:p w14:paraId="114765E6" w14:textId="584C8277" w:rsidR="00CB2ABB" w:rsidRDefault="00CB2ABB" w:rsidP="00CB2ABB">
      <w:pPr>
        <w:spacing w:after="120"/>
        <w:rPr>
          <w:rFonts w:cs="Arial"/>
          <w:bCs/>
          <w:sz w:val="22"/>
          <w:szCs w:val="22"/>
        </w:rPr>
      </w:pPr>
      <w:r>
        <w:rPr>
          <w:rFonts w:cs="Arial"/>
          <w:bCs/>
          <w:sz w:val="22"/>
          <w:szCs w:val="22"/>
        </w:rPr>
        <w:t xml:space="preserve">No samples or paperwork were returned to the Microbiology department during the trial </w:t>
      </w:r>
      <w:proofErr w:type="gramStart"/>
      <w:r>
        <w:rPr>
          <w:rFonts w:cs="Arial"/>
          <w:bCs/>
          <w:sz w:val="22"/>
          <w:szCs w:val="22"/>
        </w:rPr>
        <w:t>period,</w:t>
      </w:r>
      <w:proofErr w:type="gramEnd"/>
      <w:r>
        <w:rPr>
          <w:rFonts w:cs="Arial"/>
          <w:bCs/>
          <w:sz w:val="22"/>
          <w:szCs w:val="22"/>
        </w:rPr>
        <w:t xml:space="preserve"> therefore no analysis can be performed, and no conclusions on the effectiveness of either lateral flow device can be drawn.</w:t>
      </w:r>
    </w:p>
    <w:p w14:paraId="52789C37" w14:textId="1D4A66BF" w:rsidR="00CB2ABB" w:rsidRPr="00202E6E" w:rsidRDefault="00CB2ABB" w:rsidP="00CB2ABB">
      <w:pPr>
        <w:spacing w:after="120"/>
        <w:rPr>
          <w:rFonts w:cs="Arial"/>
          <w:bCs/>
          <w:sz w:val="22"/>
          <w:szCs w:val="22"/>
        </w:rPr>
      </w:pPr>
      <w:r>
        <w:rPr>
          <w:rFonts w:cs="Arial"/>
          <w:bCs/>
          <w:sz w:val="22"/>
          <w:szCs w:val="22"/>
        </w:rPr>
        <w:t>The Microbiology department recommends that the Trust contacts the POCT team if a repeat trial is required.</w:t>
      </w:r>
    </w:p>
    <w:p w14:paraId="25111FBD" w14:textId="77777777" w:rsidR="00C96FCA" w:rsidRDefault="00C96FCA" w:rsidP="00C96FCA">
      <w:pPr>
        <w:spacing w:after="120"/>
        <w:rPr>
          <w:rFonts w:cs="Arial"/>
          <w:b/>
          <w:u w:val="single"/>
        </w:rPr>
      </w:pPr>
      <w:r>
        <w:rPr>
          <w:rFonts w:cs="Arial"/>
          <w:b/>
          <w:u w:val="single"/>
        </w:rPr>
        <w:t>Keywords</w:t>
      </w:r>
    </w:p>
    <w:p w14:paraId="1CFB4F5B" w14:textId="08AABDA9" w:rsidR="00C96FCA" w:rsidRPr="00CB2ABB" w:rsidRDefault="00CB2ABB" w:rsidP="00C96FCA">
      <w:pPr>
        <w:spacing w:after="120"/>
        <w:rPr>
          <w:rFonts w:cs="Arial"/>
          <w:iCs/>
          <w:sz w:val="22"/>
          <w:szCs w:val="22"/>
        </w:rPr>
      </w:pPr>
      <w:r w:rsidRPr="00CB2ABB">
        <w:rPr>
          <w:rFonts w:cs="Arial"/>
          <w:iCs/>
          <w:sz w:val="22"/>
          <w:szCs w:val="22"/>
        </w:rPr>
        <w:t>COVID, flu, influenza, PCR, lateral flow</w:t>
      </w:r>
    </w:p>
    <w:p w14:paraId="70202AA6" w14:textId="77777777" w:rsidR="00C96FCA" w:rsidRPr="00173D58" w:rsidRDefault="00C96FCA" w:rsidP="00C96FCA">
      <w:pPr>
        <w:spacing w:after="120"/>
        <w:rPr>
          <w:rFonts w:cs="Arial"/>
          <w:b/>
          <w:bCs/>
        </w:rPr>
      </w:pPr>
      <w:r w:rsidRPr="00173D58">
        <w:rPr>
          <w:rFonts w:cs="Arial"/>
          <w:b/>
          <w:u w:val="single"/>
        </w:rPr>
        <w:t>Background / Information</w:t>
      </w:r>
    </w:p>
    <w:p w14:paraId="077158C5" w14:textId="6CBC5D26" w:rsidR="00421DD5" w:rsidRPr="00202E6E" w:rsidRDefault="00421DD5" w:rsidP="00421DD5">
      <w:pPr>
        <w:spacing w:after="120"/>
        <w:rPr>
          <w:rFonts w:cs="Arial"/>
          <w:bCs/>
          <w:sz w:val="22"/>
          <w:szCs w:val="22"/>
        </w:rPr>
      </w:pPr>
      <w:r w:rsidRPr="00202E6E">
        <w:rPr>
          <w:rFonts w:cs="Arial"/>
          <w:bCs/>
          <w:sz w:val="22"/>
          <w:szCs w:val="22"/>
        </w:rPr>
        <w:lastRenderedPageBreak/>
        <w:t xml:space="preserve">We </w:t>
      </w:r>
      <w:r w:rsidR="00CB2ABB">
        <w:rPr>
          <w:rFonts w:cs="Arial"/>
          <w:bCs/>
          <w:sz w:val="22"/>
          <w:szCs w:val="22"/>
        </w:rPr>
        <w:t xml:space="preserve">attempted to </w:t>
      </w:r>
      <w:r w:rsidRPr="00202E6E">
        <w:rPr>
          <w:rFonts w:cs="Arial"/>
          <w:bCs/>
          <w:sz w:val="22"/>
          <w:szCs w:val="22"/>
        </w:rPr>
        <w:t>evaluate the use of dual/triple lateral flow devices to screen patients for winter viruses (COVID, Flu A and B, RSV).</w:t>
      </w:r>
    </w:p>
    <w:p w14:paraId="69E2DAE9" w14:textId="77777777" w:rsidR="00421DD5" w:rsidRDefault="00421DD5" w:rsidP="00421DD5">
      <w:pPr>
        <w:spacing w:after="120"/>
        <w:rPr>
          <w:rFonts w:cs="Arial"/>
          <w:bCs/>
          <w:sz w:val="22"/>
          <w:szCs w:val="22"/>
        </w:rPr>
      </w:pPr>
      <w:r w:rsidRPr="00970657">
        <w:rPr>
          <w:rFonts w:cs="Arial"/>
          <w:bCs/>
          <w:sz w:val="22"/>
          <w:szCs w:val="22"/>
        </w:rPr>
        <w:t xml:space="preserve">The current screening method used by the Trust for winter virus testing is a COVID lateral flow. If this is </w:t>
      </w:r>
      <w:r>
        <w:rPr>
          <w:rFonts w:cs="Arial"/>
          <w:bCs/>
          <w:sz w:val="22"/>
          <w:szCs w:val="22"/>
        </w:rPr>
        <w:t xml:space="preserve">positive, patients are </w:t>
      </w:r>
      <w:proofErr w:type="spellStart"/>
      <w:r>
        <w:rPr>
          <w:rFonts w:cs="Arial"/>
          <w:bCs/>
          <w:sz w:val="22"/>
          <w:szCs w:val="22"/>
        </w:rPr>
        <w:t>cohorted</w:t>
      </w:r>
      <w:proofErr w:type="spellEnd"/>
      <w:r>
        <w:rPr>
          <w:rFonts w:cs="Arial"/>
          <w:bCs/>
          <w:sz w:val="22"/>
          <w:szCs w:val="22"/>
        </w:rPr>
        <w:t xml:space="preserve"> with other COVID positive patients on a dedicated ward or bay. If the lateral flow is </w:t>
      </w:r>
      <w:r w:rsidRPr="00970657">
        <w:rPr>
          <w:rFonts w:cs="Arial"/>
          <w:bCs/>
          <w:sz w:val="22"/>
          <w:szCs w:val="22"/>
        </w:rPr>
        <w:t>negative and there is clinical suspicion of a winter virus, a sample is taken and sent to the</w:t>
      </w:r>
      <w:r>
        <w:rPr>
          <w:rFonts w:cs="Arial"/>
          <w:bCs/>
          <w:sz w:val="22"/>
          <w:szCs w:val="22"/>
        </w:rPr>
        <w:t xml:space="preserve"> Microbiology</w:t>
      </w:r>
      <w:r w:rsidRPr="00970657">
        <w:rPr>
          <w:rFonts w:cs="Arial"/>
          <w:bCs/>
          <w:sz w:val="22"/>
          <w:szCs w:val="22"/>
        </w:rPr>
        <w:t xml:space="preserve"> laboratory</w:t>
      </w:r>
      <w:r>
        <w:rPr>
          <w:rFonts w:cs="Arial"/>
          <w:bCs/>
          <w:sz w:val="22"/>
          <w:szCs w:val="22"/>
        </w:rPr>
        <w:t xml:space="preserve"> for PCR</w:t>
      </w:r>
      <w:r w:rsidRPr="00970657">
        <w:rPr>
          <w:rFonts w:cs="Arial"/>
          <w:bCs/>
          <w:sz w:val="22"/>
          <w:szCs w:val="22"/>
        </w:rPr>
        <w:t>.</w:t>
      </w:r>
      <w:r>
        <w:rPr>
          <w:rFonts w:cs="Arial"/>
          <w:bCs/>
          <w:sz w:val="22"/>
          <w:szCs w:val="22"/>
        </w:rPr>
        <w:t xml:space="preserve"> PCR testing is inherently more expensive than lateral flow testing.</w:t>
      </w:r>
    </w:p>
    <w:p w14:paraId="3EF50851" w14:textId="4B3E6E52" w:rsidR="00421DD5" w:rsidRDefault="00421DD5" w:rsidP="00421DD5">
      <w:pPr>
        <w:spacing w:after="120"/>
        <w:rPr>
          <w:rFonts w:cs="Arial"/>
          <w:bCs/>
          <w:sz w:val="22"/>
          <w:szCs w:val="22"/>
        </w:rPr>
      </w:pPr>
      <w:r>
        <w:rPr>
          <w:rFonts w:cs="Arial"/>
          <w:bCs/>
          <w:sz w:val="22"/>
          <w:szCs w:val="22"/>
        </w:rPr>
        <w:t xml:space="preserve">We </w:t>
      </w:r>
      <w:r w:rsidR="00CB2ABB">
        <w:rPr>
          <w:rFonts w:cs="Arial"/>
          <w:bCs/>
          <w:sz w:val="22"/>
          <w:szCs w:val="22"/>
        </w:rPr>
        <w:t>attempted to evaluate</w:t>
      </w:r>
      <w:r>
        <w:rPr>
          <w:rFonts w:cs="Arial"/>
          <w:bCs/>
          <w:sz w:val="22"/>
          <w:szCs w:val="22"/>
        </w:rPr>
        <w:t xml:space="preserve"> two different lateral flow devices (LFD) </w:t>
      </w:r>
      <w:proofErr w:type="gramStart"/>
      <w:r>
        <w:rPr>
          <w:rFonts w:cs="Arial"/>
          <w:bCs/>
          <w:sz w:val="22"/>
          <w:szCs w:val="22"/>
        </w:rPr>
        <w:t>in order to</w:t>
      </w:r>
      <w:proofErr w:type="gramEnd"/>
      <w:r>
        <w:rPr>
          <w:rFonts w:cs="Arial"/>
          <w:bCs/>
          <w:sz w:val="22"/>
          <w:szCs w:val="22"/>
        </w:rPr>
        <w:t xml:space="preserve"> determine if either is an adequate replacement for the single-target LFD currently used to screen patients for COVID. One of these LFDs is a dual test for COVID and Flu A+B, and the other is triple target device for COVID, Flu A+B, and RSV.</w:t>
      </w:r>
    </w:p>
    <w:p w14:paraId="594CE5F0" w14:textId="77777777" w:rsidR="00421DD5" w:rsidRPr="00970657" w:rsidRDefault="00421DD5" w:rsidP="00421DD5">
      <w:pPr>
        <w:spacing w:after="120"/>
        <w:rPr>
          <w:rFonts w:cs="Arial"/>
          <w:bCs/>
          <w:sz w:val="22"/>
          <w:szCs w:val="22"/>
        </w:rPr>
      </w:pPr>
      <w:r>
        <w:rPr>
          <w:rFonts w:cs="Arial"/>
          <w:bCs/>
          <w:sz w:val="22"/>
          <w:szCs w:val="22"/>
        </w:rPr>
        <w:t xml:space="preserve">Having a rapid point-of-care test available on wards will improve the ability of clinicians and the Infection Control Team to cohort patients in a timely manner, reducing the amount of time patients wait to be sent to the correct </w:t>
      </w:r>
      <w:proofErr w:type="spellStart"/>
      <w:r>
        <w:rPr>
          <w:rFonts w:cs="Arial"/>
          <w:bCs/>
          <w:sz w:val="22"/>
          <w:szCs w:val="22"/>
        </w:rPr>
        <w:t>sideroom</w:t>
      </w:r>
      <w:proofErr w:type="spellEnd"/>
      <w:r>
        <w:rPr>
          <w:rFonts w:cs="Arial"/>
          <w:bCs/>
          <w:sz w:val="22"/>
          <w:szCs w:val="22"/>
        </w:rPr>
        <w:t>, bay or ward. Further to this, there will be a cost reduction for the Trust as LFDs are less expensive than PCR; having LFDs available for targets other than COVID will lead to fewer PCR tests being requested.</w:t>
      </w:r>
    </w:p>
    <w:p w14:paraId="35D0021D" w14:textId="77777777" w:rsidR="00C96FCA" w:rsidRPr="00173D58" w:rsidRDefault="00C96FCA" w:rsidP="00C96FCA">
      <w:pPr>
        <w:spacing w:after="120"/>
        <w:rPr>
          <w:rFonts w:cs="Arial"/>
          <w:bCs/>
        </w:rPr>
      </w:pPr>
      <w:r w:rsidRPr="00173D58">
        <w:rPr>
          <w:rFonts w:cs="Arial"/>
          <w:b/>
          <w:u w:val="single"/>
        </w:rPr>
        <w:t>Aims and Objectives</w:t>
      </w:r>
    </w:p>
    <w:p w14:paraId="5F7A2CC2" w14:textId="6D13EA09" w:rsidR="00421DD5" w:rsidRDefault="00421DD5" w:rsidP="00C96FCA">
      <w:pPr>
        <w:spacing w:after="120"/>
        <w:rPr>
          <w:rFonts w:cs="Arial"/>
          <w:iCs/>
          <w:sz w:val="22"/>
          <w:szCs w:val="22"/>
        </w:rPr>
      </w:pPr>
      <w:r w:rsidRPr="00644BA4">
        <w:rPr>
          <w:rFonts w:cs="Arial"/>
          <w:iCs/>
          <w:sz w:val="22"/>
          <w:szCs w:val="22"/>
        </w:rPr>
        <w:t>We hope</w:t>
      </w:r>
      <w:r>
        <w:rPr>
          <w:rFonts w:cs="Arial"/>
          <w:iCs/>
          <w:sz w:val="22"/>
          <w:szCs w:val="22"/>
        </w:rPr>
        <w:t>d</w:t>
      </w:r>
      <w:r w:rsidRPr="00644BA4">
        <w:rPr>
          <w:rFonts w:cs="Arial"/>
          <w:iCs/>
          <w:sz w:val="22"/>
          <w:szCs w:val="22"/>
        </w:rPr>
        <w:t xml:space="preserve"> to determine the </w:t>
      </w:r>
      <w:r>
        <w:rPr>
          <w:rFonts w:cs="Arial"/>
          <w:iCs/>
          <w:sz w:val="22"/>
          <w:szCs w:val="22"/>
        </w:rPr>
        <w:t>usefulness of two LFDs for possible use in the Trust for screening patients for winter viruses. Based on data collected, we hope</w:t>
      </w:r>
      <w:r>
        <w:rPr>
          <w:rFonts w:cs="Arial"/>
          <w:iCs/>
          <w:sz w:val="22"/>
          <w:szCs w:val="22"/>
        </w:rPr>
        <w:t>d</w:t>
      </w:r>
      <w:r>
        <w:rPr>
          <w:rFonts w:cs="Arial"/>
          <w:iCs/>
          <w:sz w:val="22"/>
          <w:szCs w:val="22"/>
        </w:rPr>
        <w:t xml:space="preserve"> to be able to advise on the most appropriate LFD for the Trust to use during the next winter virus season</w:t>
      </w:r>
      <w:r>
        <w:rPr>
          <w:rFonts w:cs="Arial"/>
          <w:iCs/>
          <w:sz w:val="22"/>
          <w:szCs w:val="22"/>
        </w:rPr>
        <w:t>.</w:t>
      </w:r>
    </w:p>
    <w:p w14:paraId="4DA60FA4" w14:textId="10607521" w:rsidR="00C96FCA" w:rsidRPr="00173D58" w:rsidRDefault="00C96FCA" w:rsidP="00C96FCA">
      <w:pPr>
        <w:spacing w:after="120"/>
        <w:rPr>
          <w:rFonts w:cs="Arial"/>
          <w:bCs/>
        </w:rPr>
      </w:pPr>
      <w:r w:rsidRPr="00173D58">
        <w:rPr>
          <w:rFonts w:cs="Arial"/>
          <w:b/>
          <w:u w:val="single"/>
        </w:rPr>
        <w:t>Methods</w:t>
      </w:r>
    </w:p>
    <w:p w14:paraId="199212CE" w14:textId="28FC4DAD" w:rsidR="00421DD5" w:rsidRDefault="00421DD5" w:rsidP="00421DD5">
      <w:pPr>
        <w:spacing w:after="120"/>
        <w:rPr>
          <w:rFonts w:cs="Arial"/>
          <w:iCs/>
          <w:sz w:val="22"/>
          <w:szCs w:val="22"/>
        </w:rPr>
      </w:pPr>
      <w:r>
        <w:rPr>
          <w:rFonts w:cs="Arial"/>
          <w:iCs/>
          <w:sz w:val="22"/>
          <w:szCs w:val="22"/>
        </w:rPr>
        <w:t xml:space="preserve">Symptomatic patients who are having </w:t>
      </w:r>
      <w:proofErr w:type="gramStart"/>
      <w:r>
        <w:rPr>
          <w:rFonts w:cs="Arial"/>
          <w:iCs/>
          <w:sz w:val="22"/>
          <w:szCs w:val="22"/>
        </w:rPr>
        <w:t>a</w:t>
      </w:r>
      <w:proofErr w:type="gramEnd"/>
      <w:r>
        <w:rPr>
          <w:rFonts w:cs="Arial"/>
          <w:iCs/>
          <w:sz w:val="22"/>
          <w:szCs w:val="22"/>
        </w:rPr>
        <w:t xml:space="preserve"> LFD or PCR for COVID as part of their diagnosis </w:t>
      </w:r>
      <w:r>
        <w:rPr>
          <w:rFonts w:cs="Arial"/>
          <w:iCs/>
          <w:sz w:val="22"/>
          <w:szCs w:val="22"/>
        </w:rPr>
        <w:t>were</w:t>
      </w:r>
      <w:r>
        <w:rPr>
          <w:rFonts w:cs="Arial"/>
          <w:iCs/>
          <w:sz w:val="22"/>
          <w:szCs w:val="22"/>
        </w:rPr>
        <w:t xml:space="preserve"> asked if they would like to take part in the evaluation. An information sheet and consent form/results sheet </w:t>
      </w:r>
      <w:proofErr w:type="gramStart"/>
      <w:r>
        <w:rPr>
          <w:rFonts w:cs="Arial"/>
          <w:iCs/>
          <w:sz w:val="22"/>
          <w:szCs w:val="22"/>
        </w:rPr>
        <w:t>was</w:t>
      </w:r>
      <w:proofErr w:type="gramEnd"/>
      <w:r>
        <w:rPr>
          <w:rFonts w:cs="Arial"/>
          <w:iCs/>
          <w:sz w:val="22"/>
          <w:szCs w:val="22"/>
        </w:rPr>
        <w:t xml:space="preserve"> designed</w:t>
      </w:r>
      <w:r>
        <w:rPr>
          <w:rFonts w:cs="Arial"/>
          <w:iCs/>
          <w:sz w:val="22"/>
          <w:szCs w:val="22"/>
        </w:rPr>
        <w:t xml:space="preserve">. </w:t>
      </w:r>
      <w:r>
        <w:rPr>
          <w:rFonts w:cs="Arial"/>
          <w:iCs/>
          <w:sz w:val="22"/>
          <w:szCs w:val="22"/>
        </w:rPr>
        <w:t>If the patient consent</w:t>
      </w:r>
      <w:r>
        <w:rPr>
          <w:rFonts w:cs="Arial"/>
          <w:iCs/>
          <w:sz w:val="22"/>
          <w:szCs w:val="22"/>
        </w:rPr>
        <w:t>ed</w:t>
      </w:r>
      <w:r>
        <w:rPr>
          <w:rFonts w:cs="Arial"/>
          <w:iCs/>
          <w:sz w:val="22"/>
          <w:szCs w:val="22"/>
        </w:rPr>
        <w:t xml:space="preserve"> to taking part in the evaluation, they </w:t>
      </w:r>
      <w:r>
        <w:rPr>
          <w:rFonts w:cs="Arial"/>
          <w:iCs/>
          <w:sz w:val="22"/>
          <w:szCs w:val="22"/>
        </w:rPr>
        <w:t>had</w:t>
      </w:r>
      <w:r>
        <w:rPr>
          <w:rFonts w:cs="Arial"/>
          <w:iCs/>
          <w:sz w:val="22"/>
          <w:szCs w:val="22"/>
        </w:rPr>
        <w:t xml:space="preserve"> the following samples taken as part of the trial:</w:t>
      </w:r>
    </w:p>
    <w:p w14:paraId="13E828D4" w14:textId="77777777" w:rsidR="00421DD5" w:rsidRDefault="00421DD5" w:rsidP="00421DD5">
      <w:pPr>
        <w:pStyle w:val="ListParagraph"/>
        <w:numPr>
          <w:ilvl w:val="0"/>
          <w:numId w:val="1"/>
        </w:numPr>
        <w:spacing w:after="120"/>
        <w:rPr>
          <w:rFonts w:cs="Arial"/>
          <w:iCs/>
          <w:sz w:val="22"/>
          <w:szCs w:val="22"/>
        </w:rPr>
      </w:pPr>
      <w:r>
        <w:rPr>
          <w:rFonts w:cs="Arial"/>
          <w:iCs/>
          <w:sz w:val="22"/>
          <w:szCs w:val="22"/>
        </w:rPr>
        <w:t>A nasal swab for the COVID/Flu A+B LFD</w:t>
      </w:r>
    </w:p>
    <w:p w14:paraId="4C730523" w14:textId="77777777" w:rsidR="00421DD5" w:rsidRDefault="00421DD5" w:rsidP="00421DD5">
      <w:pPr>
        <w:pStyle w:val="ListParagraph"/>
        <w:numPr>
          <w:ilvl w:val="0"/>
          <w:numId w:val="1"/>
        </w:numPr>
        <w:spacing w:after="120"/>
        <w:rPr>
          <w:rFonts w:cs="Arial"/>
          <w:iCs/>
          <w:sz w:val="22"/>
          <w:szCs w:val="22"/>
        </w:rPr>
      </w:pPr>
      <w:r>
        <w:rPr>
          <w:rFonts w:cs="Arial"/>
          <w:iCs/>
          <w:sz w:val="22"/>
          <w:szCs w:val="22"/>
        </w:rPr>
        <w:t>A nasal swab for the COVID/Flu A+B/RSV LFD</w:t>
      </w:r>
    </w:p>
    <w:p w14:paraId="7398EB6D" w14:textId="77777777" w:rsidR="00421DD5" w:rsidRPr="005459E4" w:rsidRDefault="00421DD5" w:rsidP="00421DD5">
      <w:pPr>
        <w:pStyle w:val="ListParagraph"/>
        <w:numPr>
          <w:ilvl w:val="0"/>
          <w:numId w:val="1"/>
        </w:numPr>
        <w:spacing w:after="120"/>
        <w:rPr>
          <w:rFonts w:cs="Arial"/>
          <w:iCs/>
          <w:sz w:val="22"/>
          <w:szCs w:val="22"/>
        </w:rPr>
      </w:pPr>
      <w:r>
        <w:rPr>
          <w:rFonts w:cs="Arial"/>
          <w:iCs/>
          <w:sz w:val="22"/>
          <w:szCs w:val="22"/>
        </w:rPr>
        <w:t>A nasal swab for winter virus PCR testing</w:t>
      </w:r>
    </w:p>
    <w:p w14:paraId="4C8C9B06" w14:textId="2787EC27" w:rsidR="00421DD5" w:rsidRDefault="00421DD5" w:rsidP="00421DD5">
      <w:pPr>
        <w:spacing w:after="120"/>
        <w:rPr>
          <w:rFonts w:cs="Arial"/>
          <w:iCs/>
          <w:sz w:val="22"/>
          <w:szCs w:val="22"/>
        </w:rPr>
      </w:pPr>
      <w:r>
        <w:rPr>
          <w:rFonts w:cs="Arial"/>
          <w:iCs/>
          <w:sz w:val="22"/>
          <w:szCs w:val="22"/>
        </w:rPr>
        <w:t xml:space="preserve">The LFDs </w:t>
      </w:r>
      <w:r>
        <w:rPr>
          <w:rFonts w:cs="Arial"/>
          <w:iCs/>
          <w:sz w:val="22"/>
          <w:szCs w:val="22"/>
        </w:rPr>
        <w:t>were</w:t>
      </w:r>
      <w:r>
        <w:rPr>
          <w:rFonts w:cs="Arial"/>
          <w:iCs/>
          <w:sz w:val="22"/>
          <w:szCs w:val="22"/>
        </w:rPr>
        <w:t xml:space="preserve"> performed at the patient’s bedside as per the instructions for use provided for the wards and results </w:t>
      </w:r>
      <w:r>
        <w:rPr>
          <w:rFonts w:cs="Arial"/>
          <w:iCs/>
          <w:sz w:val="22"/>
          <w:szCs w:val="22"/>
        </w:rPr>
        <w:t>were</w:t>
      </w:r>
      <w:r>
        <w:rPr>
          <w:rFonts w:cs="Arial"/>
          <w:iCs/>
          <w:sz w:val="22"/>
          <w:szCs w:val="22"/>
        </w:rPr>
        <w:t xml:space="preserve"> be recorded on the results sheet. This </w:t>
      </w:r>
      <w:r>
        <w:rPr>
          <w:rFonts w:cs="Arial"/>
          <w:iCs/>
          <w:sz w:val="22"/>
          <w:szCs w:val="22"/>
        </w:rPr>
        <w:t>was</w:t>
      </w:r>
      <w:r>
        <w:rPr>
          <w:rFonts w:cs="Arial"/>
          <w:iCs/>
          <w:sz w:val="22"/>
          <w:szCs w:val="22"/>
        </w:rPr>
        <w:t xml:space="preserve"> sent to the laboratory with the sample for PCR testing. When the PCR result </w:t>
      </w:r>
      <w:r>
        <w:rPr>
          <w:rFonts w:cs="Arial"/>
          <w:iCs/>
          <w:sz w:val="22"/>
          <w:szCs w:val="22"/>
        </w:rPr>
        <w:t>was</w:t>
      </w:r>
      <w:r>
        <w:rPr>
          <w:rFonts w:cs="Arial"/>
          <w:iCs/>
          <w:sz w:val="22"/>
          <w:szCs w:val="22"/>
        </w:rPr>
        <w:t xml:space="preserve"> available, it </w:t>
      </w:r>
      <w:r>
        <w:rPr>
          <w:rFonts w:cs="Arial"/>
          <w:iCs/>
          <w:sz w:val="22"/>
          <w:szCs w:val="22"/>
        </w:rPr>
        <w:t>would have</w:t>
      </w:r>
      <w:r>
        <w:rPr>
          <w:rFonts w:cs="Arial"/>
          <w:iCs/>
          <w:sz w:val="22"/>
          <w:szCs w:val="22"/>
        </w:rPr>
        <w:t xml:space="preserve"> be</w:t>
      </w:r>
      <w:r>
        <w:rPr>
          <w:rFonts w:cs="Arial"/>
          <w:iCs/>
          <w:sz w:val="22"/>
          <w:szCs w:val="22"/>
        </w:rPr>
        <w:t>en</w:t>
      </w:r>
      <w:r>
        <w:rPr>
          <w:rFonts w:cs="Arial"/>
          <w:iCs/>
          <w:sz w:val="22"/>
          <w:szCs w:val="22"/>
        </w:rPr>
        <w:t xml:space="preserve"> entered into a table by laboratory staff and</w:t>
      </w:r>
      <w:r w:rsidRPr="00EF0A80">
        <w:rPr>
          <w:rFonts w:cs="Arial"/>
          <w:iCs/>
          <w:sz w:val="22"/>
          <w:szCs w:val="22"/>
        </w:rPr>
        <w:t xml:space="preserve"> </w:t>
      </w:r>
      <w:r>
        <w:rPr>
          <w:rFonts w:cs="Arial"/>
          <w:iCs/>
          <w:sz w:val="22"/>
          <w:szCs w:val="22"/>
        </w:rPr>
        <w:t>data will be analysed by a Senior BMS or the Lead BMS.</w:t>
      </w:r>
    </w:p>
    <w:p w14:paraId="48B40AE5" w14:textId="77777777" w:rsidR="00C96FCA" w:rsidRDefault="00C96FCA" w:rsidP="00C96FCA">
      <w:pPr>
        <w:spacing w:after="120"/>
        <w:rPr>
          <w:rFonts w:cs="Arial"/>
          <w:b/>
          <w:u w:val="single"/>
        </w:rPr>
      </w:pPr>
      <w:r>
        <w:rPr>
          <w:rFonts w:cs="Arial"/>
          <w:b/>
          <w:u w:val="single"/>
        </w:rPr>
        <w:t>Analysis and Results</w:t>
      </w:r>
    </w:p>
    <w:p w14:paraId="6F14403B" w14:textId="77352DD0" w:rsidR="00CB2ABB" w:rsidRPr="00CB2ABB" w:rsidRDefault="00CB2ABB" w:rsidP="00C96FCA">
      <w:pPr>
        <w:spacing w:after="120"/>
        <w:rPr>
          <w:rFonts w:cs="Arial"/>
          <w:bCs/>
          <w:sz w:val="22"/>
          <w:szCs w:val="22"/>
        </w:rPr>
      </w:pPr>
      <w:r w:rsidRPr="00CB2ABB">
        <w:rPr>
          <w:rFonts w:cs="Arial"/>
          <w:bCs/>
          <w:sz w:val="22"/>
          <w:szCs w:val="22"/>
        </w:rPr>
        <w:t>No results were returned to the Microbiology department for analysis over the duration of the trial.</w:t>
      </w:r>
    </w:p>
    <w:p w14:paraId="3E12CCBB" w14:textId="77777777" w:rsidR="00C96FCA" w:rsidRDefault="00C96FCA" w:rsidP="00C96FCA">
      <w:pPr>
        <w:spacing w:after="120"/>
        <w:rPr>
          <w:rFonts w:cs="Arial"/>
          <w:b/>
          <w:u w:val="single"/>
        </w:rPr>
      </w:pPr>
      <w:r>
        <w:rPr>
          <w:rFonts w:cs="Arial"/>
          <w:b/>
          <w:u w:val="single"/>
        </w:rPr>
        <w:t>Discussion/Conclusions</w:t>
      </w:r>
    </w:p>
    <w:p w14:paraId="3DF21FA4" w14:textId="291C9CC3" w:rsidR="00CB2ABB" w:rsidRPr="00CB2ABB" w:rsidRDefault="00CB2ABB" w:rsidP="00C96FCA">
      <w:pPr>
        <w:spacing w:after="120"/>
        <w:rPr>
          <w:rFonts w:cs="Arial"/>
          <w:bCs/>
          <w:sz w:val="22"/>
          <w:szCs w:val="22"/>
        </w:rPr>
      </w:pPr>
      <w:r w:rsidRPr="00CB2ABB">
        <w:rPr>
          <w:rFonts w:cs="Arial"/>
          <w:bCs/>
          <w:sz w:val="22"/>
          <w:szCs w:val="22"/>
        </w:rPr>
        <w:t xml:space="preserve">No conclusions can be drawn form this trial, as there were no results </w:t>
      </w:r>
      <w:r>
        <w:rPr>
          <w:rFonts w:cs="Arial"/>
          <w:bCs/>
          <w:sz w:val="22"/>
          <w:szCs w:val="22"/>
        </w:rPr>
        <w:t xml:space="preserve">accompanying any samples </w:t>
      </w:r>
      <w:r w:rsidRPr="00CB2ABB">
        <w:rPr>
          <w:rFonts w:cs="Arial"/>
          <w:bCs/>
          <w:sz w:val="22"/>
          <w:szCs w:val="22"/>
        </w:rPr>
        <w:t>returned to the department for analysis.</w:t>
      </w:r>
    </w:p>
    <w:p w14:paraId="7244FE18" w14:textId="77777777" w:rsidR="00C96FCA" w:rsidRDefault="00C96FCA" w:rsidP="00C96FCA">
      <w:pPr>
        <w:spacing w:after="120"/>
        <w:rPr>
          <w:rFonts w:cs="Arial"/>
          <w:b/>
          <w:u w:val="single"/>
        </w:rPr>
      </w:pPr>
      <w:r w:rsidRPr="00173D58">
        <w:rPr>
          <w:rFonts w:cs="Arial"/>
          <w:b/>
          <w:u w:val="single"/>
        </w:rPr>
        <w:t>Recommendat</w:t>
      </w:r>
      <w:r>
        <w:rPr>
          <w:rFonts w:cs="Arial"/>
          <w:b/>
          <w:u w:val="single"/>
        </w:rPr>
        <w:t>ions, dissemination and actions</w:t>
      </w:r>
    </w:p>
    <w:p w14:paraId="72EAEF0E" w14:textId="6C53CBC4" w:rsidR="00CB2ABB" w:rsidRDefault="00CB2ABB" w:rsidP="00C96FCA">
      <w:pPr>
        <w:spacing w:after="120"/>
        <w:rPr>
          <w:rFonts w:cs="Arial"/>
          <w:bCs/>
          <w:sz w:val="22"/>
          <w:szCs w:val="22"/>
        </w:rPr>
      </w:pPr>
      <w:r w:rsidRPr="00CB2ABB">
        <w:rPr>
          <w:rFonts w:cs="Arial"/>
          <w:bCs/>
          <w:sz w:val="22"/>
          <w:szCs w:val="22"/>
        </w:rPr>
        <w:t>If the Trust would like to repeat the trial, we recommend contacting the POCT team to arrange a repeat.</w:t>
      </w:r>
    </w:p>
    <w:p w14:paraId="1FE5F454" w14:textId="44E75652" w:rsidR="00CB2ABB" w:rsidRPr="00CB2ABB" w:rsidRDefault="00CB2ABB" w:rsidP="00C96FCA">
      <w:pPr>
        <w:spacing w:after="120"/>
        <w:rPr>
          <w:rFonts w:cs="Arial"/>
          <w:bCs/>
          <w:sz w:val="22"/>
          <w:szCs w:val="22"/>
        </w:rPr>
      </w:pPr>
      <w:r>
        <w:rPr>
          <w:rFonts w:cs="Arial"/>
          <w:bCs/>
          <w:sz w:val="22"/>
          <w:szCs w:val="22"/>
        </w:rPr>
        <w:t>This report will be disseminated to the Respiratory Matron, Clinical Lead and Operations Manager.</w:t>
      </w:r>
    </w:p>
    <w:p w14:paraId="537303AD" w14:textId="77777777" w:rsidR="00C96FCA" w:rsidRPr="00046AAC" w:rsidRDefault="00C96FCA" w:rsidP="00C96FCA">
      <w:pPr>
        <w:spacing w:before="120"/>
        <w:rPr>
          <w:rFonts w:cs="Arial"/>
          <w:bCs/>
          <w:sz w:val="18"/>
        </w:rPr>
      </w:pPr>
    </w:p>
    <w:sectPr w:rsidR="00C96FCA" w:rsidRPr="00046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D787F"/>
    <w:multiLevelType w:val="hybridMultilevel"/>
    <w:tmpl w:val="F064E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3124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CA"/>
    <w:rsid w:val="00421DD5"/>
    <w:rsid w:val="00C848A5"/>
    <w:rsid w:val="00C96FCA"/>
    <w:rsid w:val="00CB2ABB"/>
    <w:rsid w:val="00E22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CFC1"/>
  <w15:chartTrackingRefBased/>
  <w15:docId w15:val="{ADDAB02B-F268-4A5B-B2FD-ACE3FCC2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FC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6FCA"/>
    <w:rPr>
      <w:color w:val="0000FF"/>
      <w:u w:val="single"/>
    </w:rPr>
  </w:style>
  <w:style w:type="table" w:styleId="TableGrid">
    <w:name w:val="Table Grid"/>
    <w:basedOn w:val="TableNormal"/>
    <w:uiPriority w:val="59"/>
    <w:rsid w:val="00C96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DD5"/>
    <w:pPr>
      <w:ind w:left="720"/>
      <w:contextualSpacing/>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cca.kerrigan@nhs.net" TargetMode="External"/><Relationship Id="rId5" Type="http://schemas.openxmlformats.org/officeDocument/2006/relationships/hyperlink" Target="mailto:adrian.vreede@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703</Words>
  <Characters>4010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Shrewsbury and Telford Hospital NHS Trust</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Isobel (THE SHREWSBURY AND TELFORD HOSPITAL NHS TRUST)</dc:creator>
  <cp:keywords/>
  <dc:description/>
  <cp:lastModifiedBy>KERRIGAN, Rebecca (THE SHREWSBURY AND TELFORD HOSPITAL NHS TRUST)</cp:lastModifiedBy>
  <cp:revision>2</cp:revision>
  <dcterms:created xsi:type="dcterms:W3CDTF">2024-09-23T13:22:00Z</dcterms:created>
  <dcterms:modified xsi:type="dcterms:W3CDTF">2024-09-23T13:22:00Z</dcterms:modified>
</cp:coreProperties>
</file>